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22C" w:rsidRDefault="002D222C" w:rsidP="00AD7BD8">
      <w:pPr>
        <w:pStyle w:val="Default"/>
        <w:rPr>
          <w:rFonts w:asciiTheme="minorHAnsi" w:hAnsiTheme="minorHAnsi"/>
          <w:b/>
          <w:sz w:val="28"/>
          <w:u w:val="single"/>
        </w:rPr>
      </w:pPr>
      <w:r w:rsidRPr="002D222C">
        <w:rPr>
          <w:rFonts w:asciiTheme="minorHAnsi" w:hAnsiTheme="minorHAnsi"/>
          <w:b/>
          <w:sz w:val="28"/>
          <w:u w:val="single"/>
        </w:rPr>
        <w:t>XIV Other Primary Contracts</w:t>
      </w:r>
    </w:p>
    <w:p w:rsidR="00E83D33" w:rsidRPr="00412703" w:rsidRDefault="00E83D33" w:rsidP="00E83D33">
      <w:pPr>
        <w:pStyle w:val="Default"/>
        <w:rPr>
          <w:color w:val="FF0000"/>
        </w:rPr>
      </w:pPr>
      <w:r w:rsidRPr="00F05876">
        <w:rPr>
          <w:color w:val="FF0000"/>
        </w:rPr>
        <w:t xml:space="preserve"> </w:t>
      </w:r>
    </w:p>
    <w:p w:rsidR="00E83D33" w:rsidRPr="00E74865" w:rsidRDefault="00E83D33" w:rsidP="00E83D33">
      <w:pPr>
        <w:pStyle w:val="Default"/>
        <w:numPr>
          <w:ilvl w:val="0"/>
          <w:numId w:val="3"/>
        </w:numPr>
        <w:pBdr>
          <w:top w:val="single" w:sz="4" w:space="1" w:color="auto"/>
          <w:left w:val="single" w:sz="4" w:space="4" w:color="auto"/>
          <w:bottom w:val="single" w:sz="4" w:space="1" w:color="auto"/>
          <w:right w:val="single" w:sz="4" w:space="4" w:color="auto"/>
        </w:pBdr>
        <w:rPr>
          <w:b/>
        </w:rPr>
      </w:pPr>
      <w:r w:rsidRPr="00E74865">
        <w:rPr>
          <w:b/>
        </w:rPr>
        <w:t xml:space="preserve">Subtitle </w:t>
      </w:r>
    </w:p>
    <w:p w:rsidR="00E83D33" w:rsidRDefault="00E83D33" w:rsidP="00E83D33">
      <w:pPr>
        <w:pStyle w:val="Default"/>
      </w:pPr>
    </w:p>
    <w:p w:rsidR="00E83D33" w:rsidRPr="0041032B" w:rsidRDefault="00E83D33" w:rsidP="00E83D33">
      <w:pPr>
        <w:pStyle w:val="Default"/>
        <w:rPr>
          <w:b/>
          <w:u w:val="single"/>
        </w:rPr>
      </w:pPr>
      <w:r w:rsidRPr="0041032B">
        <w:rPr>
          <w:b/>
          <w:u w:val="single"/>
        </w:rPr>
        <w:t>What Is It?</w:t>
      </w:r>
    </w:p>
    <w:p w:rsidR="00E83D33" w:rsidRPr="00A713E1" w:rsidRDefault="00E83D33" w:rsidP="00E83D33">
      <w:pPr>
        <w:pStyle w:val="Default"/>
        <w:numPr>
          <w:ilvl w:val="0"/>
          <w:numId w:val="2"/>
        </w:numPr>
        <w:rPr>
          <w:b/>
          <w:u w:val="single"/>
        </w:rPr>
      </w:pPr>
      <w:proofErr w:type="spellStart"/>
      <w:r w:rsidRPr="00A713E1">
        <w:rPr>
          <w:b/>
          <w:u w:val="single"/>
        </w:rPr>
        <w:t>Xxxx</w:t>
      </w:r>
      <w:proofErr w:type="spellEnd"/>
    </w:p>
    <w:p w:rsidR="00E83D33" w:rsidRDefault="00E83D33" w:rsidP="00E83D33">
      <w:pPr>
        <w:pStyle w:val="Default"/>
        <w:numPr>
          <w:ilvl w:val="1"/>
          <w:numId w:val="2"/>
        </w:numPr>
      </w:pPr>
      <w:r>
        <w:t>Xxx</w:t>
      </w:r>
    </w:p>
    <w:p w:rsidR="00E83D33" w:rsidRPr="00A713E1" w:rsidRDefault="00E83D33" w:rsidP="00E83D33">
      <w:pPr>
        <w:pStyle w:val="Default"/>
        <w:numPr>
          <w:ilvl w:val="0"/>
          <w:numId w:val="2"/>
        </w:numPr>
        <w:rPr>
          <w:b/>
          <w:u w:val="single"/>
        </w:rPr>
      </w:pPr>
      <w:r w:rsidRPr="00A713E1">
        <w:rPr>
          <w:b/>
          <w:u w:val="single"/>
        </w:rPr>
        <w:t>Xxx</w:t>
      </w:r>
    </w:p>
    <w:p w:rsidR="00E83D33" w:rsidRPr="00E74865" w:rsidRDefault="00E83D33" w:rsidP="00E83D33">
      <w:pPr>
        <w:pStyle w:val="Default"/>
      </w:pPr>
    </w:p>
    <w:p w:rsidR="00E83D33" w:rsidRPr="00E74865" w:rsidRDefault="00E83D33" w:rsidP="00E83D33">
      <w:pPr>
        <w:pStyle w:val="Default"/>
        <w:rPr>
          <w:b/>
          <w:u w:val="single"/>
        </w:rPr>
      </w:pPr>
      <w:r w:rsidRPr="00E74865">
        <w:rPr>
          <w:b/>
          <w:u w:val="single"/>
        </w:rPr>
        <w:t>Who Is Involved?</w:t>
      </w:r>
    </w:p>
    <w:p w:rsidR="00E83D33" w:rsidRDefault="00E83D33" w:rsidP="00E83D33">
      <w:pPr>
        <w:pStyle w:val="Default"/>
        <w:numPr>
          <w:ilvl w:val="0"/>
          <w:numId w:val="2"/>
        </w:numPr>
      </w:pPr>
      <w:r w:rsidRPr="004404F8">
        <w:t>Xxx</w:t>
      </w:r>
    </w:p>
    <w:p w:rsidR="00E83D33" w:rsidRDefault="00E83D33" w:rsidP="00E83D33">
      <w:pPr>
        <w:pStyle w:val="Default"/>
        <w:numPr>
          <w:ilvl w:val="1"/>
          <w:numId w:val="2"/>
        </w:numPr>
      </w:pPr>
      <w:r>
        <w:t>Xxx</w:t>
      </w:r>
    </w:p>
    <w:p w:rsidR="00E83D33" w:rsidRDefault="00E83D33" w:rsidP="00E83D33">
      <w:pPr>
        <w:pStyle w:val="Default"/>
        <w:ind w:left="1440"/>
      </w:pPr>
    </w:p>
    <w:p w:rsidR="00E83D33" w:rsidRPr="0041032B" w:rsidRDefault="00E83D33" w:rsidP="00E83D33">
      <w:pPr>
        <w:pStyle w:val="Default"/>
        <w:rPr>
          <w:b/>
          <w:u w:val="single"/>
        </w:rPr>
      </w:pPr>
      <w:r w:rsidRPr="0041032B">
        <w:rPr>
          <w:b/>
          <w:u w:val="single"/>
        </w:rPr>
        <w:t>How/Process: subtitle</w:t>
      </w:r>
    </w:p>
    <w:p w:rsidR="00E83D33" w:rsidRDefault="00E83D33" w:rsidP="00E83D33">
      <w:pPr>
        <w:pStyle w:val="Default"/>
        <w:numPr>
          <w:ilvl w:val="0"/>
          <w:numId w:val="2"/>
        </w:numPr>
      </w:pPr>
      <w:r>
        <w:t>Xxx</w:t>
      </w:r>
    </w:p>
    <w:p w:rsidR="00E83D33" w:rsidRPr="004404F8" w:rsidRDefault="00E83D33" w:rsidP="00E83D33">
      <w:pPr>
        <w:pStyle w:val="Default"/>
        <w:numPr>
          <w:ilvl w:val="1"/>
          <w:numId w:val="2"/>
        </w:numPr>
      </w:pPr>
      <w:r>
        <w:t>Xxx</w:t>
      </w:r>
    </w:p>
    <w:p w:rsidR="00E83D33" w:rsidRDefault="00E83D33" w:rsidP="00E83D33">
      <w:pPr>
        <w:pStyle w:val="Default"/>
        <w:rPr>
          <w:u w:val="single"/>
        </w:rPr>
      </w:pPr>
    </w:p>
    <w:p w:rsidR="00E83D33" w:rsidRPr="00E74865" w:rsidRDefault="00E83D33" w:rsidP="00E83D33">
      <w:pPr>
        <w:pStyle w:val="Default"/>
        <w:rPr>
          <w:b/>
          <w:u w:val="single"/>
        </w:rPr>
      </w:pPr>
      <w:r w:rsidRPr="00E74865">
        <w:rPr>
          <w:b/>
          <w:u w:val="single"/>
        </w:rPr>
        <w:t>Checklist</w:t>
      </w:r>
    </w:p>
    <w:p w:rsidR="00E83D33" w:rsidRDefault="00E83D33" w:rsidP="00E83D33">
      <w:pPr>
        <w:pStyle w:val="Default"/>
        <w:numPr>
          <w:ilvl w:val="0"/>
          <w:numId w:val="2"/>
        </w:numPr>
      </w:pPr>
      <w:r>
        <w:t>Xxx</w:t>
      </w:r>
    </w:p>
    <w:p w:rsidR="00E83D33" w:rsidRDefault="00E83D33" w:rsidP="00E83D33">
      <w:pPr>
        <w:pStyle w:val="Default"/>
        <w:numPr>
          <w:ilvl w:val="1"/>
          <w:numId w:val="2"/>
        </w:numPr>
      </w:pPr>
      <w:r>
        <w:t>Xxx</w:t>
      </w:r>
    </w:p>
    <w:p w:rsidR="00E83D33" w:rsidRDefault="00E83D33" w:rsidP="00E83D33">
      <w:pPr>
        <w:pStyle w:val="Default"/>
      </w:pPr>
    </w:p>
    <w:p w:rsidR="00E83D33" w:rsidRPr="00E74865" w:rsidRDefault="00E83D33" w:rsidP="00E83D33">
      <w:pPr>
        <w:pStyle w:val="Default"/>
        <w:rPr>
          <w:b/>
          <w:u w:val="single"/>
        </w:rPr>
      </w:pPr>
      <w:r w:rsidRPr="00E74865">
        <w:rPr>
          <w:b/>
          <w:u w:val="single"/>
        </w:rPr>
        <w:t>Timeline Considerations</w:t>
      </w:r>
    </w:p>
    <w:p w:rsidR="00E83D33" w:rsidRDefault="00E83D33" w:rsidP="00E83D33">
      <w:pPr>
        <w:pStyle w:val="Default"/>
        <w:numPr>
          <w:ilvl w:val="0"/>
          <w:numId w:val="2"/>
        </w:numPr>
      </w:pPr>
      <w:r>
        <w:t>Xxx</w:t>
      </w:r>
    </w:p>
    <w:p w:rsidR="00E83D33" w:rsidRDefault="00E83D33" w:rsidP="00E83D33">
      <w:pPr>
        <w:pStyle w:val="Default"/>
        <w:numPr>
          <w:ilvl w:val="1"/>
          <w:numId w:val="2"/>
        </w:numPr>
      </w:pPr>
      <w:r>
        <w:t>Xxx</w:t>
      </w:r>
    </w:p>
    <w:p w:rsidR="00E83D33" w:rsidRDefault="00E83D33" w:rsidP="00E83D33">
      <w:pPr>
        <w:pStyle w:val="Default"/>
        <w:ind w:left="2160"/>
      </w:pPr>
    </w:p>
    <w:p w:rsidR="00E83D33" w:rsidRPr="00E74865" w:rsidRDefault="00E83D33" w:rsidP="00E83D33">
      <w:pPr>
        <w:pStyle w:val="Default"/>
        <w:rPr>
          <w:b/>
          <w:u w:val="single"/>
        </w:rPr>
      </w:pPr>
      <w:r w:rsidRPr="00E74865">
        <w:rPr>
          <w:b/>
          <w:u w:val="single"/>
        </w:rPr>
        <w:t>Forms</w:t>
      </w:r>
    </w:p>
    <w:p w:rsidR="00E83D33" w:rsidRDefault="00E83D33" w:rsidP="00E83D33">
      <w:pPr>
        <w:pStyle w:val="Default"/>
        <w:numPr>
          <w:ilvl w:val="0"/>
          <w:numId w:val="2"/>
        </w:numPr>
      </w:pPr>
      <w:r>
        <w:t>Xxx</w:t>
      </w:r>
    </w:p>
    <w:p w:rsidR="00E83D33" w:rsidRDefault="00E83D33" w:rsidP="00E83D33">
      <w:pPr>
        <w:pStyle w:val="Default"/>
        <w:numPr>
          <w:ilvl w:val="1"/>
          <w:numId w:val="2"/>
        </w:numPr>
      </w:pPr>
      <w:r>
        <w:t>Xxx</w:t>
      </w:r>
    </w:p>
    <w:p w:rsidR="00E83D33" w:rsidRDefault="00E83D33" w:rsidP="00E83D33">
      <w:pPr>
        <w:pStyle w:val="Default"/>
        <w:ind w:left="1440"/>
      </w:pPr>
    </w:p>
    <w:p w:rsidR="00E83D33" w:rsidRPr="00E74865" w:rsidRDefault="00E83D33" w:rsidP="00E83D33">
      <w:pPr>
        <w:pStyle w:val="Default"/>
        <w:rPr>
          <w:b/>
          <w:u w:val="single"/>
        </w:rPr>
      </w:pPr>
      <w:r w:rsidRPr="00E74865">
        <w:rPr>
          <w:b/>
          <w:u w:val="single"/>
        </w:rPr>
        <w:t>Filing</w:t>
      </w:r>
    </w:p>
    <w:p w:rsidR="00E83D33" w:rsidRDefault="00E83D33" w:rsidP="00E83D33">
      <w:pPr>
        <w:pStyle w:val="Default"/>
        <w:numPr>
          <w:ilvl w:val="0"/>
          <w:numId w:val="2"/>
        </w:numPr>
      </w:pPr>
      <w:r>
        <w:t>Xxx</w:t>
      </w:r>
    </w:p>
    <w:p w:rsidR="0037293F" w:rsidRPr="00E83D33" w:rsidRDefault="00E83D33" w:rsidP="00202F42">
      <w:pPr>
        <w:pStyle w:val="Default"/>
        <w:numPr>
          <w:ilvl w:val="1"/>
          <w:numId w:val="2"/>
        </w:numPr>
      </w:pPr>
      <w:r>
        <w:t xml:space="preserve">Xxx </w:t>
      </w:r>
    </w:p>
    <w:tbl>
      <w:tblPr>
        <w:tblStyle w:val="TableGrid"/>
        <w:tblW w:w="0" w:type="auto"/>
        <w:tblLook w:val="04A0" w:firstRow="1" w:lastRow="0" w:firstColumn="1" w:lastColumn="0" w:noHBand="0" w:noVBand="1"/>
      </w:tblPr>
      <w:tblGrid>
        <w:gridCol w:w="2358"/>
        <w:gridCol w:w="1890"/>
        <w:gridCol w:w="1620"/>
        <w:gridCol w:w="1890"/>
        <w:gridCol w:w="1530"/>
      </w:tblGrid>
      <w:tr w:rsidR="00521227" w:rsidTr="00521227">
        <w:tc>
          <w:tcPr>
            <w:tcW w:w="2358" w:type="dxa"/>
            <w:vMerge w:val="restart"/>
          </w:tcPr>
          <w:p w:rsidR="00521227" w:rsidRPr="00521227" w:rsidRDefault="00521227" w:rsidP="00521227">
            <w:pPr>
              <w:jc w:val="center"/>
              <w:rPr>
                <w:b/>
              </w:rPr>
            </w:pPr>
            <w:r w:rsidRPr="00521227">
              <w:rPr>
                <w:b/>
              </w:rPr>
              <w:t>Type of Work</w:t>
            </w:r>
          </w:p>
        </w:tc>
        <w:tc>
          <w:tcPr>
            <w:tcW w:w="3510" w:type="dxa"/>
            <w:gridSpan w:val="2"/>
          </w:tcPr>
          <w:p w:rsidR="00521227" w:rsidRPr="00521227" w:rsidRDefault="00521227" w:rsidP="00521227">
            <w:pPr>
              <w:jc w:val="center"/>
              <w:rPr>
                <w:b/>
              </w:rPr>
            </w:pPr>
            <w:r w:rsidRPr="00521227">
              <w:rPr>
                <w:b/>
              </w:rPr>
              <w:t>Cost &lt;$50,000</w:t>
            </w:r>
          </w:p>
        </w:tc>
        <w:tc>
          <w:tcPr>
            <w:tcW w:w="3420" w:type="dxa"/>
            <w:gridSpan w:val="2"/>
          </w:tcPr>
          <w:p w:rsidR="00521227" w:rsidRPr="00521227" w:rsidRDefault="00521227" w:rsidP="00521227">
            <w:pPr>
              <w:jc w:val="center"/>
              <w:rPr>
                <w:b/>
              </w:rPr>
            </w:pPr>
            <w:r w:rsidRPr="00521227">
              <w:rPr>
                <w:b/>
              </w:rPr>
              <w:t>Cost &gt; $50,000</w:t>
            </w:r>
          </w:p>
          <w:p w:rsidR="00521227" w:rsidRPr="00521227" w:rsidRDefault="00521227" w:rsidP="00521227">
            <w:pPr>
              <w:jc w:val="center"/>
              <w:rPr>
                <w:b/>
              </w:rPr>
            </w:pPr>
          </w:p>
        </w:tc>
      </w:tr>
      <w:tr w:rsidR="00521227" w:rsidTr="00521227">
        <w:tc>
          <w:tcPr>
            <w:tcW w:w="2358" w:type="dxa"/>
            <w:vMerge/>
          </w:tcPr>
          <w:p w:rsidR="00521227" w:rsidRDefault="00521227" w:rsidP="00202F42"/>
        </w:tc>
        <w:tc>
          <w:tcPr>
            <w:tcW w:w="1890" w:type="dxa"/>
          </w:tcPr>
          <w:p w:rsidR="00521227" w:rsidRDefault="00521227" w:rsidP="007551B0">
            <w:r>
              <w:t>Type of Document to be made</w:t>
            </w:r>
          </w:p>
        </w:tc>
        <w:tc>
          <w:tcPr>
            <w:tcW w:w="1620" w:type="dxa"/>
          </w:tcPr>
          <w:p w:rsidR="00521227" w:rsidRDefault="00521227" w:rsidP="007551B0">
            <w:r>
              <w:t>Signatory Authority</w:t>
            </w:r>
          </w:p>
        </w:tc>
        <w:tc>
          <w:tcPr>
            <w:tcW w:w="1890" w:type="dxa"/>
          </w:tcPr>
          <w:p w:rsidR="00521227" w:rsidRDefault="00521227" w:rsidP="00202F42">
            <w:r>
              <w:t>Type of Document to be made</w:t>
            </w:r>
          </w:p>
        </w:tc>
        <w:tc>
          <w:tcPr>
            <w:tcW w:w="1530" w:type="dxa"/>
          </w:tcPr>
          <w:p w:rsidR="00521227" w:rsidRDefault="00521227" w:rsidP="007551B0">
            <w:r>
              <w:t>Signatory Authority</w:t>
            </w:r>
          </w:p>
        </w:tc>
      </w:tr>
      <w:tr w:rsidR="00521227" w:rsidTr="00521227">
        <w:tc>
          <w:tcPr>
            <w:tcW w:w="2358" w:type="dxa"/>
          </w:tcPr>
          <w:p w:rsidR="00521227" w:rsidRDefault="00521227" w:rsidP="00202F42">
            <w:r>
              <w:t>Asbestos/ Abatement</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Geo-technical</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Air monitoring</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Commissioning</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Testing &amp; Balancing</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Material Testing</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A/V</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Security</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lastRenderedPageBreak/>
              <w:t>Furniture</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Low voltage contractors</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Building Controls / Siemens</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r w:rsidR="00521227" w:rsidTr="00521227">
        <w:tc>
          <w:tcPr>
            <w:tcW w:w="2358" w:type="dxa"/>
          </w:tcPr>
          <w:p w:rsidR="00521227" w:rsidRDefault="00521227" w:rsidP="00202F42">
            <w:r>
              <w:t>Use tax &amp; pre-purchase</w:t>
            </w:r>
          </w:p>
        </w:tc>
        <w:tc>
          <w:tcPr>
            <w:tcW w:w="1890" w:type="dxa"/>
          </w:tcPr>
          <w:p w:rsidR="00521227" w:rsidRDefault="00521227" w:rsidP="00202F42"/>
        </w:tc>
        <w:tc>
          <w:tcPr>
            <w:tcW w:w="1620" w:type="dxa"/>
          </w:tcPr>
          <w:p w:rsidR="00521227" w:rsidRDefault="00521227" w:rsidP="00202F42"/>
        </w:tc>
        <w:tc>
          <w:tcPr>
            <w:tcW w:w="1890" w:type="dxa"/>
          </w:tcPr>
          <w:p w:rsidR="00521227" w:rsidRDefault="00521227" w:rsidP="00202F42"/>
        </w:tc>
        <w:tc>
          <w:tcPr>
            <w:tcW w:w="1530" w:type="dxa"/>
          </w:tcPr>
          <w:p w:rsidR="00521227" w:rsidRDefault="00521227" w:rsidP="00202F42"/>
        </w:tc>
      </w:tr>
    </w:tbl>
    <w:p w:rsidR="00844EC5" w:rsidRDefault="00844EC5" w:rsidP="00202F42"/>
    <w:p w:rsidR="00E83D33" w:rsidRPr="00E83D33" w:rsidRDefault="00E83D33" w:rsidP="00E83D33">
      <w:pPr>
        <w:pStyle w:val="Default"/>
        <w:numPr>
          <w:ilvl w:val="0"/>
          <w:numId w:val="3"/>
        </w:numPr>
        <w:pBdr>
          <w:top w:val="single" w:sz="4" w:space="1" w:color="auto"/>
          <w:left w:val="single" w:sz="4" w:space="4" w:color="auto"/>
          <w:bottom w:val="single" w:sz="4" w:space="1" w:color="auto"/>
          <w:right w:val="single" w:sz="4" w:space="4" w:color="auto"/>
        </w:pBdr>
        <w:rPr>
          <w:b/>
          <w:highlight w:val="yellow"/>
        </w:rPr>
      </w:pPr>
      <w:r w:rsidRPr="00E83D33">
        <w:rPr>
          <w:b/>
          <w:highlight w:val="yellow"/>
        </w:rPr>
        <w:t>Pre-purchase &amp; use tax</w:t>
      </w:r>
      <w:r w:rsidR="00941DC2">
        <w:rPr>
          <w:b/>
          <w:highlight w:val="yellow"/>
        </w:rPr>
        <w:t xml:space="preserve">   (Omar) </w:t>
      </w:r>
    </w:p>
    <w:p w:rsidR="00E83D33" w:rsidRPr="00E83D33" w:rsidRDefault="00E83D33" w:rsidP="00E83D33">
      <w:pPr>
        <w:pStyle w:val="Default"/>
        <w:rPr>
          <w:highlight w:val="yellow"/>
        </w:rPr>
      </w:pPr>
    </w:p>
    <w:p w:rsidR="00E83D33" w:rsidRPr="00E83D33" w:rsidRDefault="00E83D33" w:rsidP="00E83D33">
      <w:pPr>
        <w:pStyle w:val="Default"/>
        <w:rPr>
          <w:b/>
          <w:highlight w:val="yellow"/>
          <w:u w:val="single"/>
        </w:rPr>
      </w:pPr>
      <w:r w:rsidRPr="00E83D33">
        <w:rPr>
          <w:b/>
          <w:highlight w:val="yellow"/>
          <w:u w:val="single"/>
        </w:rPr>
        <w:t>What Is It?</w:t>
      </w:r>
    </w:p>
    <w:p w:rsidR="00941DC2" w:rsidRPr="00941DC2" w:rsidRDefault="00941DC2" w:rsidP="00941DC2">
      <w:pPr>
        <w:pStyle w:val="ListParagraph"/>
        <w:numPr>
          <w:ilvl w:val="0"/>
          <w:numId w:val="2"/>
        </w:numPr>
        <w:rPr>
          <w:highlight w:val="yellow"/>
        </w:rPr>
      </w:pPr>
      <w:r w:rsidRPr="00941DC2">
        <w:rPr>
          <w:highlight w:val="yellow"/>
        </w:rPr>
        <w:t xml:space="preserve">The contractor is required to pay use tax if he or she acquires tangible personal property even if he or she does not purchase or own the tangible personal property if sales or use tax has not already been paid on the tangible personal property. </w:t>
      </w:r>
    </w:p>
    <w:p w:rsidR="00E83D33" w:rsidRPr="00E83D33" w:rsidRDefault="00E83D33" w:rsidP="00E83D33">
      <w:pPr>
        <w:pStyle w:val="Default"/>
        <w:rPr>
          <w:highlight w:val="yellow"/>
        </w:rPr>
      </w:pPr>
    </w:p>
    <w:p w:rsidR="00E83D33" w:rsidRPr="00E83D33" w:rsidRDefault="00E83D33" w:rsidP="00E83D33">
      <w:pPr>
        <w:pStyle w:val="Default"/>
        <w:rPr>
          <w:b/>
          <w:highlight w:val="yellow"/>
          <w:u w:val="single"/>
        </w:rPr>
      </w:pPr>
      <w:r w:rsidRPr="00E83D33">
        <w:rPr>
          <w:b/>
          <w:highlight w:val="yellow"/>
          <w:u w:val="single"/>
        </w:rPr>
        <w:t>Who Is Involved?</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Xxx</w:t>
      </w:r>
    </w:p>
    <w:p w:rsidR="00E83D33" w:rsidRPr="00E83D33" w:rsidRDefault="00E83D33" w:rsidP="00E83D33">
      <w:pPr>
        <w:pStyle w:val="Default"/>
        <w:ind w:left="1440"/>
        <w:rPr>
          <w:highlight w:val="yellow"/>
        </w:rPr>
      </w:pPr>
    </w:p>
    <w:p w:rsidR="00E83D33" w:rsidRPr="00E83D33" w:rsidRDefault="00E83D33" w:rsidP="00E83D33">
      <w:pPr>
        <w:pStyle w:val="Default"/>
        <w:rPr>
          <w:b/>
          <w:highlight w:val="yellow"/>
          <w:u w:val="single"/>
        </w:rPr>
      </w:pPr>
      <w:r w:rsidRPr="00E83D33">
        <w:rPr>
          <w:b/>
          <w:highlight w:val="yellow"/>
          <w:u w:val="single"/>
        </w:rPr>
        <w:t>How/Process: subtitle</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Xxx</w:t>
      </w:r>
    </w:p>
    <w:p w:rsidR="00E83D33" w:rsidRPr="00E83D33" w:rsidRDefault="00E83D33" w:rsidP="00E83D33">
      <w:pPr>
        <w:pStyle w:val="Default"/>
        <w:rPr>
          <w:highlight w:val="yellow"/>
          <w:u w:val="single"/>
        </w:rPr>
      </w:pPr>
    </w:p>
    <w:p w:rsidR="00E83D33" w:rsidRPr="00E83D33" w:rsidRDefault="00E83D33" w:rsidP="00E83D33">
      <w:pPr>
        <w:pStyle w:val="Default"/>
        <w:rPr>
          <w:b/>
          <w:highlight w:val="yellow"/>
          <w:u w:val="single"/>
        </w:rPr>
      </w:pPr>
      <w:r w:rsidRPr="00E83D33">
        <w:rPr>
          <w:b/>
          <w:highlight w:val="yellow"/>
          <w:u w:val="single"/>
        </w:rPr>
        <w:t>Checklist</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Xxx</w:t>
      </w:r>
    </w:p>
    <w:p w:rsidR="00E83D33" w:rsidRPr="00E83D33" w:rsidRDefault="00E83D33" w:rsidP="00E83D33">
      <w:pPr>
        <w:pStyle w:val="Default"/>
        <w:rPr>
          <w:highlight w:val="yellow"/>
        </w:rPr>
      </w:pPr>
    </w:p>
    <w:p w:rsidR="00E83D33" w:rsidRPr="00E83D33" w:rsidRDefault="00E83D33" w:rsidP="00E83D33">
      <w:pPr>
        <w:pStyle w:val="Default"/>
        <w:rPr>
          <w:b/>
          <w:highlight w:val="yellow"/>
          <w:u w:val="single"/>
        </w:rPr>
      </w:pPr>
      <w:r w:rsidRPr="00E83D33">
        <w:rPr>
          <w:b/>
          <w:highlight w:val="yellow"/>
          <w:u w:val="single"/>
        </w:rPr>
        <w:t>Timeline Considerations</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Xxx</w:t>
      </w:r>
    </w:p>
    <w:p w:rsidR="00E83D33" w:rsidRPr="00E83D33" w:rsidRDefault="00E83D33" w:rsidP="00E83D33">
      <w:pPr>
        <w:pStyle w:val="Default"/>
        <w:ind w:left="2160"/>
        <w:rPr>
          <w:highlight w:val="yellow"/>
        </w:rPr>
      </w:pPr>
    </w:p>
    <w:p w:rsidR="00E83D33" w:rsidRPr="00E83D33" w:rsidRDefault="00E83D33" w:rsidP="00E83D33">
      <w:pPr>
        <w:pStyle w:val="Default"/>
        <w:rPr>
          <w:b/>
          <w:highlight w:val="yellow"/>
          <w:u w:val="single"/>
        </w:rPr>
      </w:pPr>
      <w:r w:rsidRPr="00E83D33">
        <w:rPr>
          <w:b/>
          <w:highlight w:val="yellow"/>
          <w:u w:val="single"/>
        </w:rPr>
        <w:t>Forms</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Xxx</w:t>
      </w:r>
    </w:p>
    <w:p w:rsidR="00E83D33" w:rsidRPr="00E83D33" w:rsidRDefault="00E83D33" w:rsidP="00E83D33">
      <w:pPr>
        <w:pStyle w:val="Default"/>
        <w:ind w:left="1440"/>
        <w:rPr>
          <w:highlight w:val="yellow"/>
        </w:rPr>
      </w:pPr>
    </w:p>
    <w:p w:rsidR="00E83D33" w:rsidRPr="00E83D33" w:rsidRDefault="00E83D33" w:rsidP="00E83D33">
      <w:pPr>
        <w:pStyle w:val="Default"/>
        <w:rPr>
          <w:b/>
          <w:highlight w:val="yellow"/>
          <w:u w:val="single"/>
        </w:rPr>
      </w:pPr>
      <w:r w:rsidRPr="00E83D33">
        <w:rPr>
          <w:b/>
          <w:highlight w:val="yellow"/>
          <w:u w:val="single"/>
        </w:rPr>
        <w:t>Filing</w:t>
      </w:r>
    </w:p>
    <w:p w:rsidR="00E83D33" w:rsidRPr="00E83D33" w:rsidRDefault="00E83D33" w:rsidP="00E83D33">
      <w:pPr>
        <w:pStyle w:val="Default"/>
        <w:numPr>
          <w:ilvl w:val="0"/>
          <w:numId w:val="2"/>
        </w:numPr>
        <w:rPr>
          <w:highlight w:val="yellow"/>
        </w:rPr>
      </w:pPr>
      <w:r w:rsidRPr="00E83D33">
        <w:rPr>
          <w:highlight w:val="yellow"/>
        </w:rPr>
        <w:t>Xxx</w:t>
      </w:r>
    </w:p>
    <w:p w:rsidR="00E83D33" w:rsidRPr="00E83D33" w:rsidRDefault="00E83D33" w:rsidP="00E83D33">
      <w:pPr>
        <w:pStyle w:val="Default"/>
        <w:numPr>
          <w:ilvl w:val="1"/>
          <w:numId w:val="2"/>
        </w:numPr>
        <w:rPr>
          <w:highlight w:val="yellow"/>
        </w:rPr>
      </w:pPr>
      <w:r w:rsidRPr="00E83D33">
        <w:rPr>
          <w:highlight w:val="yellow"/>
        </w:rPr>
        <w:t xml:space="preserve">Xxx </w:t>
      </w:r>
    </w:p>
    <w:p w:rsidR="000274BF" w:rsidRPr="00E83D33" w:rsidRDefault="000274BF" w:rsidP="00202F42">
      <w:pPr>
        <w:rPr>
          <w:highlight w:val="yellow"/>
        </w:rPr>
      </w:pPr>
    </w:p>
    <w:p w:rsidR="000274BF" w:rsidRPr="00E83D33" w:rsidRDefault="000274BF" w:rsidP="000274BF">
      <w:pPr>
        <w:rPr>
          <w:highlight w:val="yellow"/>
        </w:rPr>
      </w:pPr>
      <w:r w:rsidRPr="00E83D33">
        <w:rPr>
          <w:highlight w:val="yellow"/>
        </w:rPr>
        <w:t xml:space="preserve">. </w:t>
      </w:r>
    </w:p>
    <w:p w:rsidR="000274BF" w:rsidRPr="00E83D33" w:rsidRDefault="000274BF" w:rsidP="000274BF">
      <w:pPr>
        <w:rPr>
          <w:highlight w:val="yellow"/>
        </w:rPr>
      </w:pPr>
      <w:bookmarkStart w:id="0" w:name="_GoBack"/>
      <w:bookmarkEnd w:id="0"/>
      <w:r w:rsidRPr="00E83D33">
        <w:rPr>
          <w:highlight w:val="yellow"/>
        </w:rPr>
        <w:t xml:space="preserve">Ref.: </w:t>
      </w:r>
      <w:r w:rsidRPr="00E83D33">
        <w:rPr>
          <w:highlight w:val="yellow"/>
        </w:rPr>
        <w:tab/>
        <w:t>State of Michigan</w:t>
      </w:r>
    </w:p>
    <w:p w:rsidR="000274BF" w:rsidRPr="00E83D33" w:rsidRDefault="000274BF" w:rsidP="000274BF">
      <w:pPr>
        <w:rPr>
          <w:highlight w:val="yellow"/>
        </w:rPr>
      </w:pPr>
      <w:r w:rsidRPr="00E83D33">
        <w:rPr>
          <w:highlight w:val="yellow"/>
        </w:rPr>
        <w:tab/>
        <w:t xml:space="preserve">Department of Treasury </w:t>
      </w:r>
    </w:p>
    <w:p w:rsidR="000274BF" w:rsidRPr="00E83D33" w:rsidRDefault="000274BF" w:rsidP="000274BF">
      <w:pPr>
        <w:ind w:firstLine="720"/>
        <w:rPr>
          <w:highlight w:val="yellow"/>
        </w:rPr>
      </w:pPr>
      <w:r w:rsidRPr="00E83D33">
        <w:rPr>
          <w:highlight w:val="yellow"/>
        </w:rPr>
        <w:t>Revenue Administrative Bulletin 1999-2</w:t>
      </w:r>
    </w:p>
    <w:p w:rsidR="000274BF" w:rsidRDefault="000274BF" w:rsidP="000274BF">
      <w:pPr>
        <w:ind w:firstLine="720"/>
      </w:pPr>
      <w:r w:rsidRPr="00E83D33">
        <w:rPr>
          <w:highlight w:val="yellow"/>
        </w:rPr>
        <w:t>April 20, 1999</w:t>
      </w:r>
    </w:p>
    <w:p w:rsidR="000274BF" w:rsidRPr="00896E53" w:rsidRDefault="000274BF" w:rsidP="000274BF"/>
    <w:sectPr w:rsidR="000274BF" w:rsidRPr="00896E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32BC0"/>
    <w:multiLevelType w:val="hybridMultilevel"/>
    <w:tmpl w:val="3710E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B165EB"/>
    <w:multiLevelType w:val="hybridMultilevel"/>
    <w:tmpl w:val="9CF60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AD"/>
    <w:rsid w:val="000274BF"/>
    <w:rsid w:val="000353DA"/>
    <w:rsid w:val="00056FB3"/>
    <w:rsid w:val="00202F42"/>
    <w:rsid w:val="002D222C"/>
    <w:rsid w:val="00357AD3"/>
    <w:rsid w:val="0037293F"/>
    <w:rsid w:val="0044350A"/>
    <w:rsid w:val="004C309E"/>
    <w:rsid w:val="004D62E9"/>
    <w:rsid w:val="00521227"/>
    <w:rsid w:val="006B710F"/>
    <w:rsid w:val="006E3CAD"/>
    <w:rsid w:val="007B03AE"/>
    <w:rsid w:val="00844EC5"/>
    <w:rsid w:val="00896E53"/>
    <w:rsid w:val="00941DC2"/>
    <w:rsid w:val="00962AC2"/>
    <w:rsid w:val="00A60ED5"/>
    <w:rsid w:val="00AD7BD8"/>
    <w:rsid w:val="00C6324E"/>
    <w:rsid w:val="00E83D33"/>
    <w:rsid w:val="00EB040B"/>
    <w:rsid w:val="00F0549D"/>
    <w:rsid w:val="00F2027E"/>
    <w:rsid w:val="00F547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F42"/>
    <w:pPr>
      <w:ind w:left="720"/>
      <w:contextualSpacing/>
    </w:pPr>
  </w:style>
  <w:style w:type="paragraph" w:customStyle="1" w:styleId="Default">
    <w:name w:val="Default"/>
    <w:rsid w:val="000353DA"/>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844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F42"/>
    <w:pPr>
      <w:ind w:left="720"/>
      <w:contextualSpacing/>
    </w:pPr>
  </w:style>
  <w:style w:type="paragraph" w:customStyle="1" w:styleId="Default">
    <w:name w:val="Default"/>
    <w:rsid w:val="000353DA"/>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844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Ahern</dc:creator>
  <cp:lastModifiedBy>Nancy Milstein</cp:lastModifiedBy>
  <cp:revision>20</cp:revision>
  <dcterms:created xsi:type="dcterms:W3CDTF">2012-04-27T18:31:00Z</dcterms:created>
  <dcterms:modified xsi:type="dcterms:W3CDTF">2014-07-24T15:37:00Z</dcterms:modified>
</cp:coreProperties>
</file>